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Default="004A326D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</w:rPr>
        <w:t>J</w:t>
      </w:r>
      <w:r>
        <w:rPr>
          <w:noProof/>
          <w:sz w:val="24"/>
          <w:szCs w:val="24"/>
          <w:lang w:val="sr-Cyrl-RS"/>
        </w:rPr>
        <w:t>П „Сурчин“</w:t>
      </w:r>
    </w:p>
    <w:p w:rsidR="004A326D" w:rsidRDefault="00990E80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Добановци, ул. Маршала Тита бр. 2.</w:t>
      </w:r>
    </w:p>
    <w:p w:rsidR="004A326D" w:rsidRDefault="00990E80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 xml:space="preserve">Датум: </w:t>
      </w:r>
      <w:r>
        <w:rPr>
          <w:noProof/>
          <w:sz w:val="24"/>
          <w:szCs w:val="24"/>
        </w:rPr>
        <w:t>16</w:t>
      </w:r>
      <w:r>
        <w:rPr>
          <w:noProof/>
          <w:sz w:val="24"/>
          <w:szCs w:val="24"/>
          <w:lang w:val="sr-Cyrl-RS"/>
        </w:rPr>
        <w:t>.0</w:t>
      </w:r>
      <w:r>
        <w:rPr>
          <w:noProof/>
          <w:sz w:val="24"/>
          <w:szCs w:val="24"/>
        </w:rPr>
        <w:t>9</w:t>
      </w:r>
      <w:r w:rsidR="004A326D">
        <w:rPr>
          <w:noProof/>
          <w:sz w:val="24"/>
          <w:szCs w:val="24"/>
          <w:lang w:val="sr-Cyrl-RS"/>
        </w:rPr>
        <w:t>.2016. године.</w:t>
      </w:r>
    </w:p>
    <w:p w:rsidR="004A326D" w:rsidRPr="004A326D" w:rsidRDefault="00990E80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Број:</w:t>
      </w:r>
      <w:r w:rsidR="00E502A7">
        <w:rPr>
          <w:noProof/>
          <w:sz w:val="24"/>
          <w:szCs w:val="24"/>
          <w:lang w:val="sr-Cyrl-RS"/>
        </w:rPr>
        <w:t xml:space="preserve"> 6726/16</w:t>
      </w:r>
    </w:p>
    <w:p w:rsidR="004A326D" w:rsidRDefault="004A326D" w:rsidP="00C97FCF">
      <w:pPr>
        <w:jc w:val="both"/>
        <w:rPr>
          <w:noProof/>
          <w:sz w:val="24"/>
          <w:szCs w:val="24"/>
          <w:lang w:val="sr-Cyrl-CS"/>
        </w:rPr>
      </w:pPr>
    </w:p>
    <w:p w:rsidR="00C97FCF" w:rsidRDefault="006B1A8B" w:rsidP="002A407B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BD21DF">
        <w:rPr>
          <w:noProof/>
          <w:sz w:val="24"/>
          <w:szCs w:val="24"/>
        </w:rPr>
        <w:t xml:space="preserve">; 14/2015 </w:t>
      </w:r>
      <w:r w:rsidR="00BD21DF">
        <w:rPr>
          <w:noProof/>
          <w:sz w:val="24"/>
          <w:szCs w:val="24"/>
          <w:lang w:val="sr-Cyrl-RS"/>
        </w:rPr>
        <w:t>и</w:t>
      </w:r>
      <w:r w:rsidR="0005338E">
        <w:rPr>
          <w:noProof/>
          <w:sz w:val="24"/>
          <w:szCs w:val="24"/>
        </w:rPr>
        <w:t xml:space="preserve"> 68</w:t>
      </w:r>
      <w:r w:rsidR="00BD21DF">
        <w:rPr>
          <w:noProof/>
          <w:sz w:val="24"/>
          <w:szCs w:val="24"/>
        </w:rPr>
        <w:t>/2015</w:t>
      </w:r>
      <w:r w:rsidR="00C97FCF">
        <w:rPr>
          <w:noProof/>
          <w:sz w:val="24"/>
          <w:szCs w:val="24"/>
          <w:lang w:val="sr-Cyrl-CS"/>
        </w:rPr>
        <w:t xml:space="preserve">), </w:t>
      </w:r>
      <w:r w:rsidR="00990E80">
        <w:rPr>
          <w:noProof/>
          <w:sz w:val="24"/>
          <w:szCs w:val="24"/>
          <w:lang w:val="sr-Cyrl-CS"/>
        </w:rPr>
        <w:t xml:space="preserve">Одлуке бр. </w:t>
      </w:r>
      <w:r w:rsidR="00990E80">
        <w:rPr>
          <w:noProof/>
          <w:sz w:val="24"/>
          <w:szCs w:val="24"/>
        </w:rPr>
        <w:t>6258</w:t>
      </w:r>
      <w:r w:rsidR="00990E80">
        <w:rPr>
          <w:noProof/>
          <w:sz w:val="24"/>
          <w:szCs w:val="24"/>
          <w:lang w:val="sr-Cyrl-CS"/>
        </w:rPr>
        <w:t xml:space="preserve">/16 од </w:t>
      </w:r>
      <w:r w:rsidR="00990E80">
        <w:rPr>
          <w:noProof/>
          <w:sz w:val="24"/>
          <w:szCs w:val="24"/>
        </w:rPr>
        <w:t>02</w:t>
      </w:r>
      <w:r w:rsidR="00990E80">
        <w:rPr>
          <w:noProof/>
          <w:sz w:val="24"/>
          <w:szCs w:val="24"/>
          <w:lang w:val="sr-Cyrl-CS"/>
        </w:rPr>
        <w:t>.0</w:t>
      </w:r>
      <w:r w:rsidR="00990E80">
        <w:rPr>
          <w:noProof/>
          <w:sz w:val="24"/>
          <w:szCs w:val="24"/>
        </w:rPr>
        <w:t>9</w:t>
      </w:r>
      <w:r w:rsidR="002A407B">
        <w:rPr>
          <w:noProof/>
          <w:sz w:val="24"/>
          <w:szCs w:val="24"/>
          <w:lang w:val="sr-Cyrl-CS"/>
        </w:rPr>
        <w:t xml:space="preserve">.2016. </w:t>
      </w:r>
      <w:r w:rsidR="00B260D8">
        <w:rPr>
          <w:noProof/>
          <w:sz w:val="24"/>
          <w:szCs w:val="24"/>
          <w:lang w:val="sr-Cyrl-CS"/>
        </w:rPr>
        <w:t xml:space="preserve">године и Решења бр. </w:t>
      </w:r>
      <w:r w:rsidR="00990E80">
        <w:rPr>
          <w:noProof/>
          <w:sz w:val="24"/>
          <w:szCs w:val="24"/>
        </w:rPr>
        <w:t>6258</w:t>
      </w:r>
      <w:r w:rsidR="00990E80">
        <w:rPr>
          <w:noProof/>
          <w:sz w:val="24"/>
          <w:szCs w:val="24"/>
          <w:lang w:val="sr-Cyrl-CS"/>
        </w:rPr>
        <w:t xml:space="preserve">/16-1 од </w:t>
      </w:r>
      <w:r w:rsidR="00990E80">
        <w:rPr>
          <w:noProof/>
          <w:sz w:val="24"/>
          <w:szCs w:val="24"/>
        </w:rPr>
        <w:t>02</w:t>
      </w:r>
      <w:r w:rsidR="00990E80">
        <w:rPr>
          <w:noProof/>
          <w:sz w:val="24"/>
          <w:szCs w:val="24"/>
          <w:lang w:val="sr-Cyrl-CS"/>
        </w:rPr>
        <w:t>.0</w:t>
      </w:r>
      <w:r w:rsidR="00990E80">
        <w:rPr>
          <w:noProof/>
          <w:sz w:val="24"/>
          <w:szCs w:val="24"/>
        </w:rPr>
        <w:t>9</w:t>
      </w:r>
      <w:r w:rsidR="002A407B">
        <w:rPr>
          <w:noProof/>
          <w:sz w:val="24"/>
          <w:szCs w:val="24"/>
          <w:lang w:val="sr-Cyrl-CS"/>
        </w:rPr>
        <w:t>.2016. године,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364D4F">
        <w:rPr>
          <w:noProof/>
          <w:sz w:val="24"/>
          <w:szCs w:val="24"/>
          <w:lang w:val="sr-Cyrl-RS"/>
        </w:rPr>
        <w:t>ЈП „СУРЧИН“,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4A326D" w:rsidRDefault="004A326D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</w:p>
    <w:p w:rsidR="002A407B" w:rsidRDefault="002A407B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990E80">
        <w:rPr>
          <w:b/>
          <w:noProof/>
          <w:sz w:val="24"/>
          <w:szCs w:val="24"/>
          <w:lang w:val="sr-Cyrl-RS"/>
        </w:rPr>
        <w:t>бр. 20</w:t>
      </w:r>
      <w:r w:rsidR="002A407B">
        <w:rPr>
          <w:b/>
          <w:noProof/>
          <w:sz w:val="24"/>
          <w:szCs w:val="24"/>
          <w:lang w:val="sr-Cyrl-RS"/>
        </w:rPr>
        <w:t>/16</w:t>
      </w:r>
    </w:p>
    <w:p w:rsidR="00DF4BBA" w:rsidRPr="00990E80" w:rsidRDefault="00990E80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НАБАВКА БЕТОНА И БЕТОНСКИХ БЛОКОВА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990E80">
        <w:rPr>
          <w:noProof/>
          <w:sz w:val="24"/>
          <w:szCs w:val="24"/>
          <w:lang w:val="sr-Cyrl-RS"/>
        </w:rPr>
        <w:t>20</w:t>
      </w:r>
      <w:r w:rsidR="00B57A0F">
        <w:rPr>
          <w:noProof/>
          <w:sz w:val="24"/>
          <w:szCs w:val="24"/>
          <w:lang w:val="sr-Cyrl-CS"/>
        </w:rPr>
        <w:t>/1</w:t>
      </w:r>
      <w:r w:rsidR="00DF4BBA">
        <w:rPr>
          <w:noProof/>
          <w:sz w:val="24"/>
          <w:szCs w:val="24"/>
          <w:lang w:val="sr-Cyrl-RS"/>
        </w:rPr>
        <w:t>6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  <w:r w:rsidR="00BD21DF">
        <w:rPr>
          <w:b/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2A407B">
        <w:rPr>
          <w:b/>
          <w:noProof/>
          <w:sz w:val="24"/>
          <w:szCs w:val="24"/>
          <w:lang w:val="sr-Cyrl-RS"/>
        </w:rPr>
        <w:t>–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990E80">
        <w:rPr>
          <w:b/>
          <w:noProof/>
          <w:sz w:val="24"/>
          <w:szCs w:val="24"/>
          <w:lang w:val="sr-Cyrl-RS"/>
        </w:rPr>
        <w:t>БЕТОН И БЕТОНСКИ БЛОКОВИ</w:t>
      </w:r>
      <w:r w:rsidR="00DB4FBA" w:rsidRPr="00DB4FBA">
        <w:rPr>
          <w:b/>
          <w:noProof/>
          <w:sz w:val="24"/>
          <w:szCs w:val="24"/>
          <w:lang w:val="sr-Cyrl-RS"/>
        </w:rPr>
        <w:t>.</w:t>
      </w:r>
    </w:p>
    <w:p w:rsidR="002A407B" w:rsidRDefault="006B1A8B" w:rsidP="00234BF3">
      <w:pPr>
        <w:overflowPunct/>
        <w:autoSpaceDE/>
        <w:adjustRightInd/>
        <w:jc w:val="both"/>
        <w:textAlignment w:val="auto"/>
        <w:rPr>
          <w:b/>
          <w:sz w:val="22"/>
          <w:szCs w:val="22"/>
          <w:lang w:val="sr-Cyrl-RS"/>
        </w:rPr>
      </w:pPr>
      <w:r>
        <w:rPr>
          <w:noProof/>
          <w:sz w:val="24"/>
          <w:szCs w:val="24"/>
          <w:lang w:val="sr-Cyrl-RS"/>
        </w:rPr>
        <w:tab/>
      </w:r>
      <w:r w:rsidR="002A407B" w:rsidRPr="002A407B">
        <w:rPr>
          <w:noProof/>
          <w:sz w:val="26"/>
          <w:szCs w:val="26"/>
          <w:lang w:val="sr-Cyrl-RS"/>
        </w:rPr>
        <w:t xml:space="preserve">По општем речнику јавних набавки  - </w:t>
      </w:r>
      <w:r w:rsidR="00990E80">
        <w:rPr>
          <w:b/>
          <w:sz w:val="26"/>
          <w:szCs w:val="26"/>
          <w:lang w:val="sr-Cyrl-RS"/>
        </w:rPr>
        <w:t>44114000 – бетон.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7608D4" w:rsidRPr="006B1A8B">
        <w:rPr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2A407B">
        <w:rPr>
          <w:b/>
          <w:i/>
          <w:sz w:val="24"/>
          <w:szCs w:val="24"/>
          <w:lang w:val="sr-Cyrl-RS"/>
        </w:rPr>
        <w:t xml:space="preserve"> </w:t>
      </w:r>
    </w:p>
    <w:p w:rsidR="006B1A8B" w:rsidRPr="002A407B" w:rsidRDefault="00C8642D" w:rsidP="00B57A0F">
      <w:pPr>
        <w:jc w:val="center"/>
        <w:rPr>
          <w:b/>
          <w:bCs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Cyrl-RS"/>
        </w:rPr>
        <w:t xml:space="preserve"> – </w:t>
      </w:r>
      <w:r w:rsidR="00990E80">
        <w:rPr>
          <w:b/>
          <w:noProof/>
          <w:sz w:val="24"/>
          <w:szCs w:val="24"/>
          <w:lang w:val="sr-Cyrl-RS"/>
        </w:rPr>
        <w:t>бетона и бетоских блокова</w:t>
      </w:r>
      <w:r w:rsidR="005D6F7D">
        <w:rPr>
          <w:b/>
          <w:noProof/>
          <w:sz w:val="24"/>
          <w:szCs w:val="24"/>
          <w:lang w:val="sr-Cyrl-RS"/>
        </w:rPr>
        <w:t>-</w:t>
      </w:r>
      <w:r w:rsidR="005D6F7D">
        <w:rPr>
          <w:b/>
          <w:i/>
          <w:sz w:val="24"/>
          <w:szCs w:val="24"/>
          <w:lang w:val="sr-Cyrl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990E80">
        <w:rPr>
          <w:b/>
          <w:bCs/>
          <w:i/>
          <w:sz w:val="24"/>
          <w:szCs w:val="24"/>
          <w:lang w:val="sr-Cyrl-CS"/>
        </w:rPr>
        <w:t>20</w:t>
      </w:r>
      <w:r>
        <w:rPr>
          <w:b/>
          <w:bCs/>
          <w:i/>
          <w:sz w:val="24"/>
          <w:szCs w:val="24"/>
          <w:lang w:val="sr-Cyrl-CS"/>
        </w:rPr>
        <w:t>/</w:t>
      </w:r>
      <w:r w:rsidR="00DF4BBA">
        <w:rPr>
          <w:b/>
          <w:bCs/>
          <w:i/>
          <w:sz w:val="24"/>
          <w:szCs w:val="24"/>
          <w:lang w:val="sr-Cyrl-CS"/>
        </w:rPr>
        <w:t>16</w:t>
      </w:r>
      <w:r w:rsidRPr="007973FE">
        <w:rPr>
          <w:b/>
          <w:bCs/>
          <w:i/>
          <w:sz w:val="24"/>
          <w:szCs w:val="24"/>
          <w:lang w:val="sl-SI"/>
        </w:rPr>
        <w:t xml:space="preserve"> </w:t>
      </w:r>
      <w:r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4A326D" w:rsidRP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726DB7" w:rsidP="007F6CF7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Добановци </w:t>
      </w:r>
      <w:r w:rsidR="00C8642D" w:rsidRPr="006B1A8B">
        <w:rPr>
          <w:b/>
          <w:sz w:val="28"/>
          <w:szCs w:val="28"/>
          <w:lang w:val="sr-Cyrl-RS"/>
        </w:rPr>
        <w:t xml:space="preserve">ул. </w:t>
      </w:r>
      <w:r>
        <w:rPr>
          <w:b/>
          <w:sz w:val="28"/>
          <w:szCs w:val="28"/>
          <w:lang w:val="sr-Cyrl-RS"/>
        </w:rPr>
        <w:t>Маршала Тита бр. 2</w:t>
      </w:r>
      <w:r w:rsidR="00C8642D" w:rsidRPr="006B1A8B">
        <w:rPr>
          <w:b/>
          <w:sz w:val="28"/>
          <w:szCs w:val="28"/>
          <w:lang w:val="sr-Latn-CS"/>
        </w:rPr>
        <w:t xml:space="preserve"> или </w:t>
      </w:r>
    </w:p>
    <w:p w:rsidR="007167E9" w:rsidRPr="002A5F9F" w:rsidRDefault="00C8642D" w:rsidP="002A5F9F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2A5F9F" w:rsidRDefault="006B1A8B" w:rsidP="00C8642D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lastRenderedPageBreak/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3A5941">
        <w:rPr>
          <w:b/>
          <w:sz w:val="24"/>
          <w:szCs w:val="24"/>
          <w:highlight w:val="yellow"/>
        </w:rPr>
        <w:t>21</w:t>
      </w:r>
      <w:r w:rsidR="00990E80">
        <w:rPr>
          <w:b/>
          <w:sz w:val="24"/>
          <w:szCs w:val="24"/>
          <w:highlight w:val="yellow"/>
          <w:lang w:val="sr-Cyrl-RS"/>
        </w:rPr>
        <w:t>.10</w:t>
      </w:r>
      <w:r w:rsidR="00DF4BBA">
        <w:rPr>
          <w:b/>
          <w:sz w:val="24"/>
          <w:szCs w:val="24"/>
          <w:highlight w:val="yellow"/>
          <w:lang w:val="sr-Cyrl-RS"/>
        </w:rPr>
        <w:t>.2016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4A326D" w:rsidRP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DB4FBA" w:rsidRPr="006E13C8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4A326D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3A5941">
        <w:rPr>
          <w:noProof/>
          <w:sz w:val="24"/>
          <w:szCs w:val="24"/>
          <w:highlight w:val="yellow"/>
        </w:rPr>
        <w:t>21</w:t>
      </w:r>
      <w:r w:rsidR="00990E80">
        <w:rPr>
          <w:noProof/>
          <w:sz w:val="24"/>
          <w:szCs w:val="24"/>
          <w:highlight w:val="yellow"/>
          <w:lang w:val="sr-Cyrl-CS"/>
        </w:rPr>
        <w:t>.10</w:t>
      </w:r>
      <w:r w:rsidR="007167E9">
        <w:rPr>
          <w:noProof/>
          <w:sz w:val="24"/>
          <w:szCs w:val="24"/>
          <w:highlight w:val="yellow"/>
          <w:lang w:val="sr-Cyrl-CS"/>
        </w:rPr>
        <w:t>.2016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260D8">
        <w:rPr>
          <w:noProof/>
          <w:sz w:val="24"/>
          <w:szCs w:val="24"/>
          <w:lang w:val="sr-Cyrl-CS"/>
        </w:rPr>
        <w:t>року од 25</w:t>
      </w:r>
      <w:r w:rsidR="00990E80">
        <w:rPr>
          <w:noProof/>
          <w:sz w:val="24"/>
          <w:szCs w:val="24"/>
          <w:lang w:val="sr-Cyrl-CS"/>
        </w:rPr>
        <w:t xml:space="preserve"> (двадесетпет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040B89" w:rsidRPr="00040B89" w:rsidRDefault="00040B89" w:rsidP="00040B89"/>
    <w:p w:rsidR="00C65322" w:rsidRDefault="002A407B" w:rsidP="002A407B">
      <w:pPr>
        <w:tabs>
          <w:tab w:val="left" w:pos="609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Председник Комисије</w:t>
      </w:r>
    </w:p>
    <w:p w:rsidR="002A407B" w:rsidRDefault="002A407B" w:rsidP="002A407B">
      <w:pPr>
        <w:tabs>
          <w:tab w:val="left" w:pos="609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Миодраг Миловановић</w:t>
      </w:r>
    </w:p>
    <w:p w:rsidR="002A407B" w:rsidRPr="00776207" w:rsidRDefault="002A407B" w:rsidP="002A407B">
      <w:pPr>
        <w:tabs>
          <w:tab w:val="left" w:pos="6090"/>
        </w:tabs>
        <w:rPr>
          <w:sz w:val="22"/>
          <w:szCs w:val="22"/>
          <w:lang w:val="sr-Cyrl-RS"/>
        </w:rPr>
      </w:pPr>
      <w:bookmarkStart w:id="0" w:name="_GoBack"/>
      <w:bookmarkEnd w:id="0"/>
      <w:r>
        <w:rPr>
          <w:sz w:val="22"/>
          <w:szCs w:val="22"/>
          <w:lang w:val="sr-Cyrl-RS"/>
        </w:rPr>
        <w:tab/>
        <w:t>___________________</w:t>
      </w:r>
    </w:p>
    <w:sectPr w:rsidR="002A407B" w:rsidRPr="00776207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D9" w:rsidRDefault="00BD49D9">
      <w:r>
        <w:separator/>
      </w:r>
    </w:p>
  </w:endnote>
  <w:endnote w:type="continuationSeparator" w:id="0">
    <w:p w:rsidR="00BD49D9" w:rsidRDefault="00BD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D9" w:rsidRDefault="00BD49D9">
      <w:r>
        <w:separator/>
      </w:r>
    </w:p>
  </w:footnote>
  <w:footnote w:type="continuationSeparator" w:id="0">
    <w:p w:rsidR="00BD49D9" w:rsidRDefault="00BD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24F77"/>
    <w:rsid w:val="00040B89"/>
    <w:rsid w:val="0005338E"/>
    <w:rsid w:val="000732C1"/>
    <w:rsid w:val="000838DD"/>
    <w:rsid w:val="000E0745"/>
    <w:rsid w:val="001161D2"/>
    <w:rsid w:val="0015422C"/>
    <w:rsid w:val="001E07E4"/>
    <w:rsid w:val="00234BF3"/>
    <w:rsid w:val="00252E0F"/>
    <w:rsid w:val="00285E99"/>
    <w:rsid w:val="002A407B"/>
    <w:rsid w:val="002A5F9F"/>
    <w:rsid w:val="002B0A98"/>
    <w:rsid w:val="002E1BAD"/>
    <w:rsid w:val="002F3A72"/>
    <w:rsid w:val="003104F0"/>
    <w:rsid w:val="00311283"/>
    <w:rsid w:val="00364D4F"/>
    <w:rsid w:val="00397ABA"/>
    <w:rsid w:val="003A5941"/>
    <w:rsid w:val="003B6F6F"/>
    <w:rsid w:val="00442EDB"/>
    <w:rsid w:val="00454317"/>
    <w:rsid w:val="0045689F"/>
    <w:rsid w:val="004A326D"/>
    <w:rsid w:val="004A4FC7"/>
    <w:rsid w:val="004A5FD1"/>
    <w:rsid w:val="004B0230"/>
    <w:rsid w:val="004C0056"/>
    <w:rsid w:val="004F7DC2"/>
    <w:rsid w:val="005616DD"/>
    <w:rsid w:val="005734E2"/>
    <w:rsid w:val="00582EF0"/>
    <w:rsid w:val="0058692F"/>
    <w:rsid w:val="005A344E"/>
    <w:rsid w:val="005B01D4"/>
    <w:rsid w:val="005D6F7D"/>
    <w:rsid w:val="0062351A"/>
    <w:rsid w:val="006442DC"/>
    <w:rsid w:val="00657A30"/>
    <w:rsid w:val="006B1A8B"/>
    <w:rsid w:val="006E13C8"/>
    <w:rsid w:val="006E619C"/>
    <w:rsid w:val="007167E9"/>
    <w:rsid w:val="00726DB7"/>
    <w:rsid w:val="007608D4"/>
    <w:rsid w:val="00770BBE"/>
    <w:rsid w:val="007711CD"/>
    <w:rsid w:val="00776207"/>
    <w:rsid w:val="007803A1"/>
    <w:rsid w:val="007973FE"/>
    <w:rsid w:val="007D51F0"/>
    <w:rsid w:val="007F6CF7"/>
    <w:rsid w:val="00827CF8"/>
    <w:rsid w:val="0085375F"/>
    <w:rsid w:val="008C0BF3"/>
    <w:rsid w:val="008C22A1"/>
    <w:rsid w:val="00990E80"/>
    <w:rsid w:val="009964F6"/>
    <w:rsid w:val="009A1A2D"/>
    <w:rsid w:val="009E6473"/>
    <w:rsid w:val="009F0D69"/>
    <w:rsid w:val="009F7276"/>
    <w:rsid w:val="00A363B2"/>
    <w:rsid w:val="00AD10C9"/>
    <w:rsid w:val="00AF2AC0"/>
    <w:rsid w:val="00B260D8"/>
    <w:rsid w:val="00B357CB"/>
    <w:rsid w:val="00B5036E"/>
    <w:rsid w:val="00B57A0F"/>
    <w:rsid w:val="00B67F0D"/>
    <w:rsid w:val="00BB2EAB"/>
    <w:rsid w:val="00BD21DF"/>
    <w:rsid w:val="00BD49D9"/>
    <w:rsid w:val="00BF0AF5"/>
    <w:rsid w:val="00C65322"/>
    <w:rsid w:val="00C854BE"/>
    <w:rsid w:val="00C8642D"/>
    <w:rsid w:val="00C94FE7"/>
    <w:rsid w:val="00C97FCF"/>
    <w:rsid w:val="00CD0B9C"/>
    <w:rsid w:val="00CD5B67"/>
    <w:rsid w:val="00D53065"/>
    <w:rsid w:val="00DB4FBA"/>
    <w:rsid w:val="00DD36BF"/>
    <w:rsid w:val="00DF4BBA"/>
    <w:rsid w:val="00E01CF2"/>
    <w:rsid w:val="00E502A7"/>
    <w:rsid w:val="00EF7CBC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Lux</cp:lastModifiedBy>
  <cp:revision>10</cp:revision>
  <cp:lastPrinted>2016-02-01T12:19:00Z</cp:lastPrinted>
  <dcterms:created xsi:type="dcterms:W3CDTF">2016-02-01T12:20:00Z</dcterms:created>
  <dcterms:modified xsi:type="dcterms:W3CDTF">2016-09-21T07:06:00Z</dcterms:modified>
</cp:coreProperties>
</file>